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A80" w:rsidRPr="005A1DE4" w:rsidRDefault="005A1DE4" w:rsidP="005A1DE4">
      <w:pPr>
        <w:pBdr>
          <w:top w:val="single" w:sz="4" w:space="1" w:color="auto"/>
          <w:left w:val="single" w:sz="4" w:space="4" w:color="auto"/>
          <w:bottom w:val="single" w:sz="4" w:space="1" w:color="auto"/>
          <w:right w:val="single" w:sz="4" w:space="4" w:color="auto"/>
        </w:pBdr>
        <w:jc w:val="center"/>
        <w:rPr>
          <w:b/>
        </w:rPr>
      </w:pPr>
      <w:r>
        <w:rPr>
          <w:b/>
        </w:rPr>
        <w:t>Annexe</w:t>
      </w:r>
      <w:r w:rsidRPr="0043446D">
        <w:rPr>
          <w:b/>
        </w:rPr>
        <w:t xml:space="preserve"> </w:t>
      </w:r>
      <w:r>
        <w:rPr>
          <w:b/>
        </w:rPr>
        <w:t>PRA</w:t>
      </w:r>
      <w:r w:rsidRPr="0043446D">
        <w:rPr>
          <w:b/>
        </w:rPr>
        <w:t xml:space="preserve"> -</w:t>
      </w:r>
      <w:r>
        <w:rPr>
          <w:b/>
        </w:rPr>
        <w:t xml:space="preserve"> Orientations</w:t>
      </w:r>
      <w:r w:rsidRPr="0043446D">
        <w:rPr>
          <w:b/>
        </w:rPr>
        <w:t xml:space="preserve"> </w:t>
      </w:r>
      <w:r>
        <w:rPr>
          <w:b/>
        </w:rPr>
        <w:t>« </w:t>
      </w:r>
      <w:r>
        <w:rPr>
          <w:b/>
        </w:rPr>
        <w:t>prévention et réduction des addictions</w:t>
      </w:r>
      <w:r>
        <w:rPr>
          <w:b/>
        </w:rPr>
        <w:t> » 2022</w:t>
      </w:r>
    </w:p>
    <w:p w:rsidR="004B694D" w:rsidRDefault="004B694D" w:rsidP="004B694D">
      <w:pPr>
        <w:jc w:val="both"/>
      </w:pPr>
      <w:r>
        <w:t>Les conduites addictives demeurent un problème de santé publique important dans notre territoire. Elles bénéficient cependant d’un plan national de mobilisation contre les addictions 2018-2022 et de nombreux plans d’actions nationaux et régionaux. En référence à ces derniers la prévention des conduites addictives fait l’objet d’objectifs au PRS 2 et au PTSM. La stratégie décennale de lutte contre les cancers 2021-2030 dans un de ses axes prioritaires y fait référence de manière explicite.</w:t>
      </w:r>
      <w:r w:rsidRPr="00925FCC">
        <w:t xml:space="preserve"> </w:t>
      </w:r>
      <w:r>
        <w:t>La lutte contre les conduites addictives doit être centrale dans toute stratégie visant à réduire les inégalités de santé.</w:t>
      </w:r>
    </w:p>
    <w:p w:rsidR="004B694D" w:rsidRDefault="004B694D" w:rsidP="004B694D">
      <w:pPr>
        <w:jc w:val="both"/>
      </w:pPr>
      <w:r>
        <w:t xml:space="preserve">Le poids du </w:t>
      </w:r>
      <w:r w:rsidRPr="005A1DE4">
        <w:rPr>
          <w:b/>
        </w:rPr>
        <w:t>tabagisme</w:t>
      </w:r>
      <w:r>
        <w:t xml:space="preserve"> et de l’</w:t>
      </w:r>
      <w:r w:rsidRPr="005A1DE4">
        <w:rPr>
          <w:b/>
        </w:rPr>
        <w:t>alcool</w:t>
      </w:r>
      <w:r>
        <w:t xml:space="preserve"> dans la réduction de l’espérance de vie n’est plus à démontrer. Les modalités d’usage du tabac chez le jeune, chez la femme enceinte, les </w:t>
      </w:r>
      <w:r w:rsidRPr="000B4E67">
        <w:t>pratique</w:t>
      </w:r>
      <w:r>
        <w:t>s</w:t>
      </w:r>
      <w:r w:rsidRPr="000B4E67">
        <w:t xml:space="preserve"> consistant à atteindre l’ivre</w:t>
      </w:r>
      <w:r>
        <w:t>sse le plus rapidement possible (</w:t>
      </w:r>
      <w:proofErr w:type="spellStart"/>
      <w:r w:rsidRPr="000B4E67">
        <w:t>binge</w:t>
      </w:r>
      <w:proofErr w:type="spellEnd"/>
      <w:r w:rsidRPr="000B4E67">
        <w:t xml:space="preserve"> </w:t>
      </w:r>
      <w:proofErr w:type="spellStart"/>
      <w:r w:rsidRPr="000B4E67">
        <w:t>drinking</w:t>
      </w:r>
      <w:proofErr w:type="spellEnd"/>
      <w:r>
        <w:t>)</w:t>
      </w:r>
      <w:r w:rsidRPr="000B4E67">
        <w:t xml:space="preserve"> </w:t>
      </w:r>
      <w:r>
        <w:t xml:space="preserve">chez les jeunes et l’exposition aux risques et </w:t>
      </w:r>
      <w:r>
        <w:rPr>
          <w:rStyle w:val="hgkelc"/>
        </w:rPr>
        <w:t>dommages en direction des usagers de drogue</w:t>
      </w:r>
      <w:r>
        <w:t>s soulignent la nécessité de renforcer les actions préventives.</w:t>
      </w:r>
    </w:p>
    <w:p w:rsidR="004B694D" w:rsidRDefault="004B694D" w:rsidP="004B694D">
      <w:pPr>
        <w:jc w:val="both"/>
      </w:pPr>
      <w:r>
        <w:t xml:space="preserve">De plus les </w:t>
      </w:r>
      <w:r w:rsidRPr="005A1DE4">
        <w:rPr>
          <w:b/>
        </w:rPr>
        <w:t>addictions sans produits</w:t>
      </w:r>
      <w:r>
        <w:t xml:space="preserve"> la cyber addiction, les addictions au jeu ne sont pas à sous-estimer.</w:t>
      </w:r>
    </w:p>
    <w:p w:rsidR="005A1DE4" w:rsidRDefault="004B694D" w:rsidP="005A1DE4">
      <w:pPr>
        <w:jc w:val="both"/>
      </w:pPr>
      <w:r>
        <w:t>Impactant fortement les publics en situation de vulnérabilité sociale</w:t>
      </w:r>
      <w:r w:rsidR="00656ED2">
        <w:t>,</w:t>
      </w:r>
      <w:r>
        <w:t xml:space="preserve"> les conduites de consommation notamment doivent faire l’objet de stratégie d’actions préventives adaptées en associant les professionnels qui les accompagnent.</w:t>
      </w:r>
      <w:r w:rsidR="005A1DE4" w:rsidRPr="005A1DE4">
        <w:t xml:space="preserve"> </w:t>
      </w:r>
    </w:p>
    <w:p w:rsidR="004B694D" w:rsidRPr="00656ED2" w:rsidRDefault="005A1DE4" w:rsidP="004B694D">
      <w:pPr>
        <w:jc w:val="both"/>
        <w:rPr>
          <w:color w:val="00B050"/>
        </w:rPr>
      </w:pPr>
      <w:r>
        <w:t>Enfin</w:t>
      </w:r>
      <w:r w:rsidR="00656ED2">
        <w:t>,</w:t>
      </w:r>
      <w:r>
        <w:t xml:space="preserve"> il est important d’être attentif à l’</w:t>
      </w:r>
      <w:r w:rsidRPr="005A1DE4">
        <w:rPr>
          <w:b/>
        </w:rPr>
        <w:t xml:space="preserve">association des déterminants </w:t>
      </w:r>
      <w:r>
        <w:t>défavorables relevant de l’environnement social, des difficultés de gestion des émotions (gestion du stress), d’une sédentarité accrue et d’une alimentation déséquilibrée. Les actions proposées doivent pouvoir envisager des réponses synergiques autour de ces déterminants.</w:t>
      </w:r>
      <w:r w:rsidRPr="006109B2">
        <w:t xml:space="preserve"> </w:t>
      </w:r>
      <w:r>
        <w:t>Une attention particulière est accordée aux programmes d’actions probants auprès des enfants et adolescents en milieu scolaire ou relevant de l’aide sociale à l’enfance et de la protection judiciaire de la jeunesse.</w:t>
      </w:r>
    </w:p>
    <w:p w:rsidR="004B694D" w:rsidRPr="00D4422E" w:rsidRDefault="005A1DE4" w:rsidP="004B694D">
      <w:pPr>
        <w:jc w:val="both"/>
        <w:rPr>
          <w:color w:val="00B050"/>
        </w:rPr>
      </w:pPr>
      <w:r>
        <w:rPr>
          <w:noProof/>
          <w:lang w:eastAsia="fr-FR"/>
        </w:rPr>
        <w:drawing>
          <wp:anchor distT="0" distB="0" distL="114300" distR="114300" simplePos="0" relativeHeight="251658240" behindDoc="1" locked="0" layoutInCell="1" allowOverlap="1">
            <wp:simplePos x="0" y="0"/>
            <wp:positionH relativeFrom="margin">
              <wp:align>left</wp:align>
            </wp:positionH>
            <wp:positionV relativeFrom="paragraph">
              <wp:posOffset>67310</wp:posOffset>
            </wp:positionV>
            <wp:extent cx="530225" cy="353695"/>
            <wp:effectExtent l="0" t="0" r="3175" b="8255"/>
            <wp:wrapTight wrapText="bothSides">
              <wp:wrapPolygon edited="0">
                <wp:start x="0" y="0"/>
                <wp:lineTo x="0" y="20941"/>
                <wp:lineTo x="20953" y="20941"/>
                <wp:lineTo x="2095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0225" cy="353695"/>
                    </a:xfrm>
                    <a:prstGeom prst="rect">
                      <a:avLst/>
                    </a:prstGeom>
                    <a:noFill/>
                  </pic:spPr>
                </pic:pic>
              </a:graphicData>
            </a:graphic>
            <wp14:sizeRelH relativeFrom="page">
              <wp14:pctWidth>0</wp14:pctWidth>
            </wp14:sizeRelH>
            <wp14:sizeRelV relativeFrom="page">
              <wp14:pctHeight>0</wp14:pctHeight>
            </wp14:sizeRelV>
          </wp:anchor>
        </w:drawing>
      </w:r>
      <w:r w:rsidR="00656ED2">
        <w:rPr>
          <w:noProof/>
          <w:lang w:eastAsia="fr-FR"/>
        </w:rPr>
        <w:t>Les actions attendues doi</w:t>
      </w:r>
      <w:r>
        <w:rPr>
          <w:noProof/>
          <w:lang w:eastAsia="fr-FR"/>
        </w:rPr>
        <w:t>vent cibler plus particulièrement</w:t>
      </w:r>
      <w:r w:rsidR="004B694D">
        <w:t xml:space="preserve"> les </w:t>
      </w:r>
      <w:r w:rsidR="004B694D" w:rsidRPr="005A1DE4">
        <w:rPr>
          <w:b/>
        </w:rPr>
        <w:t>jeunes</w:t>
      </w:r>
      <w:r w:rsidR="00656ED2" w:rsidRPr="00656ED2">
        <w:t xml:space="preserve"> (notamment ceux relevant de l’</w:t>
      </w:r>
      <w:r w:rsidR="00A12EBB" w:rsidRPr="00A12EBB">
        <w:t>aide sociale à l’enfance</w:t>
      </w:r>
      <w:r w:rsidR="00A12EBB">
        <w:t xml:space="preserve"> et de </w:t>
      </w:r>
      <w:r w:rsidR="00A12EBB">
        <w:t>la protection judiciaire de la jeunesse</w:t>
      </w:r>
      <w:r w:rsidR="00656ED2" w:rsidRPr="00656ED2">
        <w:t>)</w:t>
      </w:r>
      <w:r w:rsidR="004B694D">
        <w:t xml:space="preserve">, les </w:t>
      </w:r>
      <w:r w:rsidR="004B694D" w:rsidRPr="005A1DE4">
        <w:rPr>
          <w:b/>
        </w:rPr>
        <w:t>femmes enceintes</w:t>
      </w:r>
      <w:r w:rsidR="004B694D">
        <w:t xml:space="preserve"> et l</w:t>
      </w:r>
      <w:r w:rsidR="006021F7">
        <w:t xml:space="preserve">eur entourage, les publics </w:t>
      </w:r>
      <w:r w:rsidR="006021F7" w:rsidRPr="00656ED2">
        <w:rPr>
          <w:b/>
        </w:rPr>
        <w:t>sous-</w:t>
      </w:r>
      <w:r w:rsidR="004B694D" w:rsidRPr="00656ED2">
        <w:rPr>
          <w:b/>
        </w:rPr>
        <w:t>main de justice</w:t>
      </w:r>
      <w:r w:rsidR="004B694D">
        <w:t xml:space="preserve">, et les </w:t>
      </w:r>
      <w:r w:rsidR="004B694D" w:rsidRPr="00656ED2">
        <w:rPr>
          <w:b/>
        </w:rPr>
        <w:t>personnes présentant de</w:t>
      </w:r>
      <w:r w:rsidR="00656ED2">
        <w:rPr>
          <w:b/>
        </w:rPr>
        <w:t>s</w:t>
      </w:r>
      <w:r w:rsidR="004B694D" w:rsidRPr="00656ED2">
        <w:rPr>
          <w:b/>
        </w:rPr>
        <w:t xml:space="preserve"> troubles psychiques</w:t>
      </w:r>
      <w:r w:rsidR="004B694D">
        <w:t>.</w:t>
      </w:r>
      <w:r w:rsidR="00D4422E">
        <w:t xml:space="preserve"> </w:t>
      </w:r>
    </w:p>
    <w:p w:rsidR="00E30BE2" w:rsidRPr="00E30BE2" w:rsidRDefault="00656ED2" w:rsidP="00E30BE2">
      <w:pPr>
        <w:autoSpaceDE w:val="0"/>
        <w:autoSpaceDN w:val="0"/>
        <w:adjustRightInd w:val="0"/>
        <w:spacing w:after="0" w:line="240" w:lineRule="auto"/>
        <w:jc w:val="both"/>
        <w:rPr>
          <w:rFonts w:ascii="Calibri" w:hAnsi="Calibri" w:cs="Calibri"/>
          <w:color w:val="C45911" w:themeColor="accent2" w:themeShade="BF"/>
        </w:rPr>
      </w:pPr>
      <w:r>
        <w:rPr>
          <w:noProof/>
          <w:lang w:eastAsia="fr-FR"/>
        </w:rPr>
        <w:drawing>
          <wp:anchor distT="0" distB="0" distL="114300" distR="114300" simplePos="0" relativeHeight="251659264" behindDoc="1" locked="0" layoutInCell="1" allowOverlap="1">
            <wp:simplePos x="0" y="0"/>
            <wp:positionH relativeFrom="margin">
              <wp:align>left</wp:align>
            </wp:positionH>
            <wp:positionV relativeFrom="paragraph">
              <wp:posOffset>74295</wp:posOffset>
            </wp:positionV>
            <wp:extent cx="572770" cy="396240"/>
            <wp:effectExtent l="0" t="0" r="0" b="3810"/>
            <wp:wrapTight wrapText="bothSides">
              <wp:wrapPolygon edited="0">
                <wp:start x="0" y="0"/>
                <wp:lineTo x="0" y="20769"/>
                <wp:lineTo x="20834" y="20769"/>
                <wp:lineTo x="20834"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770" cy="396240"/>
                    </a:xfrm>
                    <a:prstGeom prst="rect">
                      <a:avLst/>
                    </a:prstGeom>
                    <a:noFill/>
                  </pic:spPr>
                </pic:pic>
              </a:graphicData>
            </a:graphic>
          </wp:anchor>
        </w:drawing>
      </w:r>
    </w:p>
    <w:p w:rsidR="00175385" w:rsidRDefault="00656ED2" w:rsidP="00175385">
      <w:pPr>
        <w:jc w:val="both"/>
      </w:pPr>
      <w:r>
        <w:t>Elles viseront à répondre aux</w:t>
      </w:r>
      <w:r w:rsidR="004B694D">
        <w:t xml:space="preserve"> objectifs prioritaires </w:t>
      </w:r>
      <w:r>
        <w:t>suivants :</w:t>
      </w:r>
      <w:r w:rsidR="004B694D">
        <w:t> </w:t>
      </w:r>
    </w:p>
    <w:p w:rsidR="00656ED2" w:rsidRDefault="006109B2" w:rsidP="004B694D">
      <w:pPr>
        <w:pStyle w:val="Paragraphedeliste"/>
        <w:numPr>
          <w:ilvl w:val="0"/>
          <w:numId w:val="3"/>
        </w:numPr>
        <w:jc w:val="both"/>
        <w:rPr>
          <w:b/>
        </w:rPr>
      </w:pPr>
      <w:r w:rsidRPr="00656ED2">
        <w:rPr>
          <w:b/>
        </w:rPr>
        <w:t>Favoriser les environnements promoteurs de santé</w:t>
      </w:r>
    </w:p>
    <w:p w:rsidR="00656ED2" w:rsidRPr="00656ED2" w:rsidRDefault="00F64FAC" w:rsidP="001F49CA">
      <w:pPr>
        <w:pStyle w:val="Paragraphedeliste"/>
        <w:numPr>
          <w:ilvl w:val="1"/>
          <w:numId w:val="3"/>
        </w:numPr>
        <w:jc w:val="both"/>
        <w:rPr>
          <w:b/>
        </w:rPr>
      </w:pPr>
      <w:r>
        <w:t xml:space="preserve">Contribuer au </w:t>
      </w:r>
      <w:r w:rsidR="006109B2">
        <w:t>changement de</w:t>
      </w:r>
      <w:r w:rsidR="00A47E3E">
        <w:t xml:space="preserve"> regard sur les consommations</w:t>
      </w:r>
      <w:r w:rsidR="00656ED2">
        <w:t>.</w:t>
      </w:r>
    </w:p>
    <w:p w:rsidR="00656ED2" w:rsidRPr="00A12EBB" w:rsidRDefault="00F64FAC" w:rsidP="00A12EBB">
      <w:pPr>
        <w:pStyle w:val="Paragraphedeliste"/>
        <w:numPr>
          <w:ilvl w:val="1"/>
          <w:numId w:val="3"/>
        </w:numPr>
        <w:jc w:val="both"/>
        <w:rPr>
          <w:b/>
        </w:rPr>
      </w:pPr>
      <w:r w:rsidRPr="006109B2">
        <w:t xml:space="preserve">Proposer des espaces de dialogue entre les professionnels, les élus et les </w:t>
      </w:r>
      <w:r w:rsidR="00656ED2">
        <w:t>citoyens.</w:t>
      </w:r>
    </w:p>
    <w:p w:rsidR="00656ED2" w:rsidRPr="00656ED2" w:rsidRDefault="00175385" w:rsidP="00175385">
      <w:pPr>
        <w:pStyle w:val="Paragraphedeliste"/>
        <w:numPr>
          <w:ilvl w:val="0"/>
          <w:numId w:val="3"/>
        </w:numPr>
        <w:jc w:val="both"/>
        <w:rPr>
          <w:b/>
        </w:rPr>
      </w:pPr>
      <w:r w:rsidRPr="00656ED2">
        <w:rPr>
          <w:rFonts w:ascii="Calibri" w:hAnsi="Calibri" w:cs="Calibri"/>
          <w:b/>
          <w:szCs w:val="24"/>
        </w:rPr>
        <w:t>Eviter l’entrée dans le tabagisme ainsi qu’éviter ou retarder l’entrée dans la consommation d’autres substances psychoactives</w:t>
      </w:r>
      <w:r w:rsidR="00656ED2">
        <w:rPr>
          <w:rFonts w:ascii="Calibri" w:hAnsi="Calibri" w:cs="Calibri"/>
          <w:b/>
          <w:szCs w:val="24"/>
        </w:rPr>
        <w:t> :</w:t>
      </w:r>
    </w:p>
    <w:p w:rsidR="00656ED2" w:rsidRPr="00656ED2" w:rsidRDefault="00A47E3E" w:rsidP="00175385">
      <w:pPr>
        <w:pStyle w:val="Paragraphedeliste"/>
        <w:numPr>
          <w:ilvl w:val="1"/>
          <w:numId w:val="3"/>
        </w:numPr>
        <w:jc w:val="both"/>
        <w:rPr>
          <w:b/>
        </w:rPr>
      </w:pPr>
      <w:r>
        <w:t xml:space="preserve">Protéger l’enfant à naître de l’exposition aux substances </w:t>
      </w:r>
      <w:r w:rsidR="004B694D">
        <w:t>psychoactives pendant</w:t>
      </w:r>
      <w:r>
        <w:t xml:space="preserve"> la grossesse</w:t>
      </w:r>
      <w:r w:rsidR="00656ED2">
        <w:t>.</w:t>
      </w:r>
      <w:r>
        <w:t xml:space="preserve"> </w:t>
      </w:r>
    </w:p>
    <w:p w:rsidR="00656ED2" w:rsidRPr="00656ED2" w:rsidRDefault="00656ED2" w:rsidP="00175385">
      <w:pPr>
        <w:pStyle w:val="Paragraphedeliste"/>
        <w:numPr>
          <w:ilvl w:val="1"/>
          <w:numId w:val="3"/>
        </w:numPr>
        <w:jc w:val="both"/>
        <w:rPr>
          <w:b/>
        </w:rPr>
      </w:pPr>
      <w:r>
        <w:rPr>
          <w:rFonts w:ascii="Calibri" w:hAnsi="Calibri" w:cs="Calibri"/>
        </w:rPr>
        <w:t>Développer l</w:t>
      </w:r>
      <w:r w:rsidR="00A12EBB">
        <w:rPr>
          <w:rFonts w:ascii="Calibri" w:hAnsi="Calibri" w:cs="Calibri"/>
        </w:rPr>
        <w:t xml:space="preserve">es </w:t>
      </w:r>
      <w:r w:rsidR="00A12EBB">
        <w:rPr>
          <w:rFonts w:ascii="Calibri" w:hAnsi="Calibri" w:cs="Calibri"/>
          <w:bCs/>
        </w:rPr>
        <w:t>CPS</w:t>
      </w:r>
      <w:r w:rsidR="00175385" w:rsidRPr="00656ED2">
        <w:rPr>
          <w:rFonts w:ascii="Calibri" w:hAnsi="Calibri" w:cs="Calibri"/>
        </w:rPr>
        <w:t xml:space="preserve"> dans le domaine des addictions avec </w:t>
      </w:r>
      <w:r w:rsidR="00175385" w:rsidRPr="00656ED2">
        <w:rPr>
          <w:rFonts w:ascii="Calibri" w:hAnsi="Calibri" w:cs="Calibri"/>
          <w:iCs/>
        </w:rPr>
        <w:t>substances ou sans produits</w:t>
      </w:r>
      <w:r>
        <w:rPr>
          <w:rFonts w:ascii="Calibri" w:hAnsi="Calibri" w:cs="Calibri"/>
          <w:iCs/>
        </w:rPr>
        <w:t>.</w:t>
      </w:r>
    </w:p>
    <w:p w:rsidR="00656ED2" w:rsidRDefault="004B694D" w:rsidP="004B694D">
      <w:pPr>
        <w:pStyle w:val="Paragraphedeliste"/>
        <w:numPr>
          <w:ilvl w:val="0"/>
          <w:numId w:val="3"/>
        </w:numPr>
        <w:jc w:val="both"/>
        <w:rPr>
          <w:b/>
        </w:rPr>
      </w:pPr>
      <w:r w:rsidRPr="00656ED2">
        <w:rPr>
          <w:b/>
        </w:rPr>
        <w:t>Améliorer le repérage précoce</w:t>
      </w:r>
      <w:r w:rsidR="00573ED5" w:rsidRPr="00656ED2">
        <w:rPr>
          <w:b/>
        </w:rPr>
        <w:t xml:space="preserve"> des conduites addictives</w:t>
      </w:r>
      <w:r w:rsidR="006109B2" w:rsidRPr="00656ED2">
        <w:rPr>
          <w:b/>
        </w:rPr>
        <w:t xml:space="preserve"> avec ou sans produits</w:t>
      </w:r>
      <w:r w:rsidR="00656ED2">
        <w:rPr>
          <w:b/>
        </w:rPr>
        <w:t> :</w:t>
      </w:r>
    </w:p>
    <w:p w:rsidR="00656ED2" w:rsidRPr="00656ED2" w:rsidRDefault="00A47E3E" w:rsidP="004B694D">
      <w:pPr>
        <w:pStyle w:val="Paragraphedeliste"/>
        <w:numPr>
          <w:ilvl w:val="1"/>
          <w:numId w:val="3"/>
        </w:numPr>
        <w:jc w:val="both"/>
        <w:rPr>
          <w:b/>
        </w:rPr>
      </w:pPr>
      <w:r>
        <w:t>Aider les parents dans leur rôle éducatif</w:t>
      </w:r>
      <w:r w:rsidR="00A12EBB">
        <w:t>.</w:t>
      </w:r>
    </w:p>
    <w:p w:rsidR="00656ED2" w:rsidRPr="00656ED2" w:rsidRDefault="006109B2" w:rsidP="004B694D">
      <w:pPr>
        <w:pStyle w:val="Paragraphedeliste"/>
        <w:numPr>
          <w:ilvl w:val="1"/>
          <w:numId w:val="3"/>
        </w:numPr>
        <w:jc w:val="both"/>
        <w:rPr>
          <w:b/>
        </w:rPr>
      </w:pPr>
      <w:r>
        <w:t xml:space="preserve">Faciliter les bonnes pratiques pour les professionnels et les aidants </w:t>
      </w:r>
      <w:r w:rsidR="00A47E3E">
        <w:t>dès les premiers usages problématiques de produits ou d’écrans/jeux</w:t>
      </w:r>
      <w:r w:rsidR="00A12EBB">
        <w:t>.</w:t>
      </w:r>
    </w:p>
    <w:p w:rsidR="00656ED2" w:rsidRPr="00656ED2" w:rsidRDefault="00A47E3E" w:rsidP="00175385">
      <w:pPr>
        <w:pStyle w:val="Paragraphedeliste"/>
        <w:numPr>
          <w:ilvl w:val="1"/>
          <w:numId w:val="3"/>
        </w:numPr>
        <w:jc w:val="both"/>
        <w:rPr>
          <w:b/>
        </w:rPr>
      </w:pPr>
      <w:r>
        <w:t>Encourager les expériences permettant de lutter contre la désinsertion professionnelle en lien avec les conduites addictives</w:t>
      </w:r>
      <w:r w:rsidR="00A12EBB">
        <w:t>.</w:t>
      </w:r>
    </w:p>
    <w:p w:rsidR="00656ED2" w:rsidRDefault="001F49CA" w:rsidP="004B694D">
      <w:pPr>
        <w:pStyle w:val="Paragraphedeliste"/>
        <w:numPr>
          <w:ilvl w:val="0"/>
          <w:numId w:val="3"/>
        </w:numPr>
        <w:jc w:val="both"/>
        <w:rPr>
          <w:b/>
        </w:rPr>
      </w:pPr>
      <w:r w:rsidRPr="00656ED2">
        <w:rPr>
          <w:b/>
        </w:rPr>
        <w:t>Contribuer à la construction des</w:t>
      </w:r>
      <w:r w:rsidR="00A47E3E" w:rsidRPr="00656ED2">
        <w:rPr>
          <w:b/>
        </w:rPr>
        <w:t xml:space="preserve"> parcours de santé à partir d’un premier recours </w:t>
      </w:r>
      <w:r w:rsidR="006109B2" w:rsidRPr="00656ED2">
        <w:rPr>
          <w:b/>
        </w:rPr>
        <w:t>consolidé et</w:t>
      </w:r>
      <w:r w:rsidR="00A47E3E" w:rsidRPr="00656ED2">
        <w:rPr>
          <w:b/>
        </w:rPr>
        <w:t xml:space="preserve"> d’une </w:t>
      </w:r>
      <w:r w:rsidR="006109B2" w:rsidRPr="00656ED2">
        <w:rPr>
          <w:b/>
        </w:rPr>
        <w:t>offre de soins spécialisée structurée</w:t>
      </w:r>
      <w:r w:rsidR="00A12EBB">
        <w:rPr>
          <w:b/>
        </w:rPr>
        <w:t> :</w:t>
      </w:r>
    </w:p>
    <w:p w:rsidR="00656ED2" w:rsidRPr="00656ED2" w:rsidRDefault="006109B2" w:rsidP="004B694D">
      <w:pPr>
        <w:pStyle w:val="Paragraphedeliste"/>
        <w:numPr>
          <w:ilvl w:val="1"/>
          <w:numId w:val="3"/>
        </w:numPr>
        <w:jc w:val="both"/>
        <w:rPr>
          <w:b/>
        </w:rPr>
      </w:pPr>
      <w:r>
        <w:t>Favoriser l’appropriation d</w:t>
      </w:r>
      <w:r w:rsidR="00A47E3E">
        <w:t>es recommandations de b</w:t>
      </w:r>
      <w:r w:rsidR="00A12EBB">
        <w:t>onnes pratiques en addictologie.</w:t>
      </w:r>
    </w:p>
    <w:p w:rsidR="00656ED2" w:rsidRPr="00656ED2" w:rsidRDefault="004B694D" w:rsidP="004B694D">
      <w:pPr>
        <w:pStyle w:val="Paragraphedeliste"/>
        <w:numPr>
          <w:ilvl w:val="1"/>
          <w:numId w:val="3"/>
        </w:numPr>
        <w:jc w:val="both"/>
        <w:rPr>
          <w:b/>
        </w:rPr>
      </w:pPr>
      <w:r>
        <w:t>Favoriser l</w:t>
      </w:r>
      <w:r w:rsidR="00573ED5">
        <w:t>e</w:t>
      </w:r>
      <w:r>
        <w:t>s échanges de pratique</w:t>
      </w:r>
      <w:r w:rsidR="00A12EBB">
        <w:t>.</w:t>
      </w:r>
    </w:p>
    <w:p w:rsidR="00656ED2" w:rsidRPr="00656ED2" w:rsidRDefault="00175385" w:rsidP="004B694D">
      <w:pPr>
        <w:pStyle w:val="Paragraphedeliste"/>
        <w:numPr>
          <w:ilvl w:val="1"/>
          <w:numId w:val="3"/>
        </w:numPr>
        <w:jc w:val="both"/>
        <w:rPr>
          <w:b/>
        </w:rPr>
      </w:pPr>
      <w:r>
        <w:t>Faciliter</w:t>
      </w:r>
      <w:r w:rsidR="00573ED5">
        <w:t xml:space="preserve"> la coopération des intervenants dans le champ des conduites addictives</w:t>
      </w:r>
      <w:r w:rsidR="00A12EBB">
        <w:t>.</w:t>
      </w:r>
    </w:p>
    <w:p w:rsidR="00656ED2" w:rsidRPr="00656ED2" w:rsidRDefault="00A47E3E" w:rsidP="00573ED5">
      <w:pPr>
        <w:pStyle w:val="Paragraphedeliste"/>
        <w:numPr>
          <w:ilvl w:val="1"/>
          <w:numId w:val="3"/>
        </w:numPr>
        <w:jc w:val="both"/>
        <w:rPr>
          <w:b/>
        </w:rPr>
      </w:pPr>
      <w:r>
        <w:t>Rendre les parcours de santé accessibles aux personnes en situation de handicap</w:t>
      </w:r>
      <w:r w:rsidR="00A12EBB">
        <w:t>.</w:t>
      </w:r>
    </w:p>
    <w:p w:rsidR="00656ED2" w:rsidRPr="00656ED2" w:rsidRDefault="00573ED5" w:rsidP="00656ED2">
      <w:pPr>
        <w:pStyle w:val="Paragraphedeliste"/>
        <w:numPr>
          <w:ilvl w:val="1"/>
          <w:numId w:val="3"/>
        </w:numPr>
        <w:jc w:val="both"/>
        <w:rPr>
          <w:b/>
        </w:rPr>
      </w:pPr>
      <w:r>
        <w:t>Prévoir des réponses accessibles</w:t>
      </w:r>
      <w:r w:rsidRPr="004B694D">
        <w:t xml:space="preserve"> </w:t>
      </w:r>
      <w:r>
        <w:t xml:space="preserve">en facilitant le </w:t>
      </w:r>
      <w:r w:rsidR="001F49CA">
        <w:t>« </w:t>
      </w:r>
      <w:r>
        <w:t>aller</w:t>
      </w:r>
      <w:r w:rsidR="006109B2">
        <w:t> </w:t>
      </w:r>
      <w:r>
        <w:t>vers</w:t>
      </w:r>
      <w:r w:rsidR="006109B2">
        <w:t xml:space="preserve"> » pour </w:t>
      </w:r>
      <w:r>
        <w:t>les personnes vulnérables</w:t>
      </w:r>
      <w:r w:rsidR="00A12EBB">
        <w:t>.</w:t>
      </w:r>
      <w:bookmarkStart w:id="0" w:name="_GoBack"/>
      <w:bookmarkEnd w:id="0"/>
    </w:p>
    <w:p w:rsidR="00656ED2" w:rsidRPr="00656ED2" w:rsidRDefault="00A47E3E" w:rsidP="004B694D">
      <w:pPr>
        <w:pStyle w:val="Paragraphedeliste"/>
        <w:numPr>
          <w:ilvl w:val="0"/>
          <w:numId w:val="3"/>
        </w:numPr>
        <w:jc w:val="both"/>
        <w:rPr>
          <w:b/>
        </w:rPr>
      </w:pPr>
      <w:r w:rsidRPr="00656ED2">
        <w:rPr>
          <w:b/>
        </w:rPr>
        <w:t>Améliorer l’offre en matière de réduction des risques et des dommages</w:t>
      </w:r>
      <w:r w:rsidR="00175385" w:rsidRPr="00656ED2">
        <w:rPr>
          <w:rFonts w:ascii="Calibri" w:hAnsi="Calibri" w:cs="Calibri"/>
          <w:b/>
          <w:color w:val="C45911" w:themeColor="accent2" w:themeShade="BF"/>
          <w:szCs w:val="24"/>
        </w:rPr>
        <w:t xml:space="preserve"> </w:t>
      </w:r>
      <w:r w:rsidR="00175385" w:rsidRPr="00656ED2">
        <w:rPr>
          <w:rFonts w:ascii="Calibri" w:hAnsi="Calibri" w:cs="Calibri"/>
          <w:b/>
          <w:szCs w:val="24"/>
        </w:rPr>
        <w:t>liés aux consommations de substances psychoactives</w:t>
      </w:r>
      <w:r w:rsidR="00A12EBB">
        <w:rPr>
          <w:rFonts w:ascii="Calibri" w:hAnsi="Calibri" w:cs="Calibri"/>
          <w:b/>
          <w:szCs w:val="24"/>
        </w:rPr>
        <w:t> :</w:t>
      </w:r>
    </w:p>
    <w:p w:rsidR="00656ED2" w:rsidRPr="00656ED2" w:rsidRDefault="006109B2" w:rsidP="006109B2">
      <w:pPr>
        <w:pStyle w:val="Paragraphedeliste"/>
        <w:numPr>
          <w:ilvl w:val="1"/>
          <w:numId w:val="3"/>
        </w:numPr>
        <w:jc w:val="both"/>
        <w:rPr>
          <w:b/>
        </w:rPr>
      </w:pPr>
      <w:r w:rsidRPr="00656ED2">
        <w:rPr>
          <w:rFonts w:eastAsia="Times New Roman" w:cstheme="minorHAnsi"/>
          <w:lang w:eastAsia="fr-FR"/>
        </w:rPr>
        <w:t>Aider</w:t>
      </w:r>
      <w:r w:rsidR="00F64FAC" w:rsidRPr="00656ED2">
        <w:rPr>
          <w:rFonts w:eastAsia="Times New Roman" w:cstheme="minorHAnsi"/>
          <w:lang w:eastAsia="fr-FR"/>
        </w:rPr>
        <w:t xml:space="preserve"> les fumeurs à s’arrêter de fumer</w:t>
      </w:r>
      <w:r w:rsidR="00A12EBB">
        <w:rPr>
          <w:rFonts w:eastAsia="Times New Roman" w:cstheme="minorHAnsi"/>
          <w:lang w:eastAsia="fr-FR"/>
        </w:rPr>
        <w:t>.</w:t>
      </w:r>
      <w:r w:rsidR="00F64FAC" w:rsidRPr="006109B2">
        <w:t xml:space="preserve"> </w:t>
      </w:r>
    </w:p>
    <w:p w:rsidR="00A47E3E" w:rsidRPr="00A12EBB" w:rsidRDefault="006109B2" w:rsidP="004B694D">
      <w:pPr>
        <w:pStyle w:val="Paragraphedeliste"/>
        <w:numPr>
          <w:ilvl w:val="1"/>
          <w:numId w:val="3"/>
        </w:numPr>
        <w:jc w:val="both"/>
        <w:rPr>
          <w:b/>
        </w:rPr>
      </w:pPr>
      <w:r>
        <w:t xml:space="preserve">Réduire l’usage à risque notamment le </w:t>
      </w:r>
      <w:proofErr w:type="spellStart"/>
      <w:r>
        <w:t>bing</w:t>
      </w:r>
      <w:r w:rsidR="005A1DE4">
        <w:t>e</w:t>
      </w:r>
      <w:proofErr w:type="spellEnd"/>
      <w:r>
        <w:t xml:space="preserve"> </w:t>
      </w:r>
      <w:proofErr w:type="spellStart"/>
      <w:r>
        <w:t>drinking</w:t>
      </w:r>
      <w:proofErr w:type="spellEnd"/>
      <w:r w:rsidR="00A12EBB">
        <w:t>.</w:t>
      </w:r>
      <w:r w:rsidR="00E30BE2">
        <w:t xml:space="preserve"> </w:t>
      </w:r>
    </w:p>
    <w:sectPr w:rsidR="00A47E3E" w:rsidRPr="00A12EBB" w:rsidSect="00656ED2">
      <w:pgSz w:w="11906" w:h="16838"/>
      <w:pgMar w:top="567" w:right="849"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7404"/>
    <w:multiLevelType w:val="hybridMultilevel"/>
    <w:tmpl w:val="33D609D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BD862DF"/>
    <w:multiLevelType w:val="hybridMultilevel"/>
    <w:tmpl w:val="473660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6434A8D"/>
    <w:multiLevelType w:val="hybridMultilevel"/>
    <w:tmpl w:val="1E40F3C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E3E"/>
    <w:rsid w:val="000B4E67"/>
    <w:rsid w:val="000F6A80"/>
    <w:rsid w:val="00175385"/>
    <w:rsid w:val="001F49CA"/>
    <w:rsid w:val="00275D4D"/>
    <w:rsid w:val="003131F6"/>
    <w:rsid w:val="0045724E"/>
    <w:rsid w:val="004A7BF4"/>
    <w:rsid w:val="004B694D"/>
    <w:rsid w:val="004C75F2"/>
    <w:rsid w:val="00573ED5"/>
    <w:rsid w:val="005A1DE4"/>
    <w:rsid w:val="005B63D7"/>
    <w:rsid w:val="006021F7"/>
    <w:rsid w:val="006109B2"/>
    <w:rsid w:val="00656ED2"/>
    <w:rsid w:val="007D554A"/>
    <w:rsid w:val="00925FCC"/>
    <w:rsid w:val="009C2E3A"/>
    <w:rsid w:val="00A12EBB"/>
    <w:rsid w:val="00A47E3E"/>
    <w:rsid w:val="00D4422E"/>
    <w:rsid w:val="00E30BE2"/>
    <w:rsid w:val="00F64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6B25EB9"/>
  <w15:chartTrackingRefBased/>
  <w15:docId w15:val="{85EE124B-9364-4A77-9708-48B3B7C7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gkelc">
    <w:name w:val="hgkelc"/>
    <w:basedOn w:val="Policepardfaut"/>
    <w:rsid w:val="004C75F2"/>
  </w:style>
  <w:style w:type="paragraph" w:styleId="Paragraphedeliste">
    <w:name w:val="List Paragraph"/>
    <w:basedOn w:val="Normal"/>
    <w:uiPriority w:val="34"/>
    <w:qFormat/>
    <w:rsid w:val="006109B2"/>
    <w:pPr>
      <w:ind w:left="720"/>
      <w:contextualSpacing/>
    </w:pPr>
  </w:style>
  <w:style w:type="paragraph" w:customStyle="1" w:styleId="Default">
    <w:name w:val="Default"/>
    <w:rsid w:val="00E30BE2"/>
    <w:pPr>
      <w:autoSpaceDE w:val="0"/>
      <w:autoSpaceDN w:val="0"/>
      <w:adjustRightInd w:val="0"/>
      <w:spacing w:after="0" w:line="240" w:lineRule="auto"/>
    </w:pPr>
    <w:rPr>
      <w:rFonts w:ascii="Calibri" w:eastAsia="Times New Roman" w:hAnsi="Calibri" w:cs="Calibri"/>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615</Words>
  <Characters>3387</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ARS</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WYART, Jean-Louis</dc:creator>
  <cp:keywords/>
  <dc:description/>
  <cp:lastModifiedBy>MEGE, Laurent</cp:lastModifiedBy>
  <cp:revision>3</cp:revision>
  <dcterms:created xsi:type="dcterms:W3CDTF">2022-02-22T13:49:00Z</dcterms:created>
  <dcterms:modified xsi:type="dcterms:W3CDTF">2022-02-22T17:09:00Z</dcterms:modified>
</cp:coreProperties>
</file>